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Деловодна информация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Партида на възложителя: 00062</w:t>
      </w:r>
      <w:r w:rsidRPr="00C06F55">
        <w:rPr>
          <w:lang w:val="en-US"/>
        </w:rPr>
        <w:tab/>
        <w:t>Поделение: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Изходящ номер:  от дата: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Обявлението подлежи на публикуване в ОВ на 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Съгласен съм с Общите условия на АОП за използване на услугата Електронен подател: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Дата на изпращане на обявлението до ОВ на ЕС: 08/10/2020 (дд/мм/гггг)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Заведено в преписка: 00062-2020-0006 (nnnnn-yyyy-xxxx)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Притурка към Официален вестник на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Информация и онлайн формуляри: http://simap.ted.europa.eu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Обявление за възложена поръчка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Резултати от процедурата за възлагане на обществена поръчка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Директива 2014/24/ЕС/ЗОП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Раздел I: Възлагащ орган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I.1) Наименование и адреси 1 (моля, посочете всички възлагащи органи, които отговарят за процедурата)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Официално наименование: Университет за национално и световно стопанство</w:t>
      </w:r>
      <w:r w:rsidRPr="00C06F55">
        <w:rPr>
          <w:lang w:val="en-US"/>
        </w:rPr>
        <w:tab/>
        <w:t>Национален регистрационен номер: 000670602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Пощенски адрес: Студентски град, ул. 8-ми декември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Град: София</w:t>
      </w:r>
      <w:r w:rsidRPr="00C06F55">
        <w:rPr>
          <w:lang w:val="en-US"/>
        </w:rPr>
        <w:tab/>
        <w:t>код NUTS: BG411</w:t>
      </w:r>
      <w:r w:rsidRPr="00C06F55">
        <w:rPr>
          <w:lang w:val="en-US"/>
        </w:rPr>
        <w:tab/>
        <w:t>Пощенски код: 1700</w:t>
      </w:r>
      <w:r w:rsidRPr="00C06F55">
        <w:rPr>
          <w:lang w:val="en-US"/>
        </w:rPr>
        <w:tab/>
        <w:t>Държава: България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Лице за контакт: Радослав Костов - гл. експерт, обществени поръчки и търгове</w:t>
      </w:r>
      <w:r w:rsidRPr="00C06F55">
        <w:rPr>
          <w:lang w:val="en-US"/>
        </w:rPr>
        <w:tab/>
        <w:t>Телефон: +359 8195377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Електронна поща: kostov@unwe.bg</w:t>
      </w:r>
      <w:r w:rsidRPr="00C06F55">
        <w:rPr>
          <w:lang w:val="en-US"/>
        </w:rPr>
        <w:tab/>
        <w:t>Факс: +359 8195516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Интернет адрес/и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адрес: (URL) www.unwe.bg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Адрес на профила на купувача: (URL) http://zop2.unwe.bg/Document?folderId=472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I.2) Съвместно възлагане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 обхваща съвместно възлагане: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     </w:t>
      </w:r>
      <w:r w:rsidRPr="00C06F55">
        <w:rPr>
          <w:lang w:val="en-US"/>
        </w:rP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 се възлага от централен орган за покупки: 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 xml:space="preserve">I.4) Вид на възлагащия орган 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Публичноправна организация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I.5) Основна дейност 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Образование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Раздел II: Предмет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II.1) Обхват на обществената поръчка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II.1.1) Наименование: „Рамково споразумение за доставка, инсталиране, въвеждане в експлоатация и гаранционен сервиз на информационно-компютърна техника“</w:t>
      </w:r>
      <w:r w:rsidRPr="00C06F55">
        <w:rPr>
          <w:lang w:val="en-US"/>
        </w:rPr>
        <w:tab/>
        <w:t>Референтен номер: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II.1.2) Основен CPV код: 30000000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II.1.3) Вид на поръчката: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Доставки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II.1.4) Кратко описание: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 е съставена от шест обособени позиции, както следва: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1. Обособена позиция 1 – Сървъри, сториджи, мрежово и комуникационно оборудване;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2. Обособена позиция 2 – Настолни компютри;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3. Обособена позиция 3 – Преносими компютри и таблети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4. Обособена позиция 4 - Монитори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5. Обособена позиция 5 - Принтери, скенери и многофункционални устройства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6. Обособена позиция 6 – Непрекъсваеми токозахранващи устройства.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II.1.6) Информация относно обособените позиции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Настоящата поръчка е разделена на обособени позиции: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II.1.7) Обща стойност на обществената поръчка (без да се включва ДДС)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Стойност:       Валута: 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или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Най-ниска оферта:  / Най-висока оферта:  Валута:  които са взети предвид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рамкови споразумения - обща максимална стойност за цялата продължителност)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динамични системи за покупки - стойност на поръчката/ите, която/които не е/са включена/и в предишни обявления за възлагане на поръчки)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II.2) Описание 1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II.2.1) Наименование: 2 Сървъри, сториджи, мрежово и комуникационно оборудване</w:t>
      </w:r>
      <w:r w:rsidRPr="00C06F55">
        <w:rPr>
          <w:lang w:val="en-US"/>
        </w:rPr>
        <w:tab/>
        <w:t>Обособена позиция №: 2 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II.2.2) Допълнителни CPV кодове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48800000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32500000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II.2.3) Място на изпълнение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код NUTS: 1 BG411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Основно място на изпълнение: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Университет за национално и световно стопанство – гр. София, Студентски град „Хр. Ботев“, ул. 8-ми декември.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настоящата обществена поръчка 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споразумение.Подробно описание на минималните техническите характеристики на техниката са описание в техническо задание (Образец № 9 от документацията за участие).На базата на предходните три рамкови споразумения и прогнозите си за бъдещи периоди, възложителя предвижда да закупи 5бр. сървъри, 1бр. сървърен шкаф, 1бр. дисков масив, 25бр. комутатори и по 1бр. от всички непосочени по-горе продукти, а именно - шаси за блейд сървър, разширения на дисковото пространство на съществуващи сървъри, защитни стени, маршрутизатори, подробно описани в техническото задание към документацията за участие.Така посочените количества могат да служат на участниците, като ориентировъчни количества.Възложителят си запазва правото да поръчва количества, съгласно потребностите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II.2.5) Критерии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Критерий за качество: 1 2 20 НЕ</w:t>
      </w:r>
      <w:r w:rsidRPr="00C06F55">
        <w:rPr>
          <w:lang w:val="en-US"/>
        </w:rPr>
        <w:tab/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Цена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Тежест: 21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II.2.11) Информация относно опциите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Описание на опциите: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II.2.13) Информация относно средства от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във връзка с проект и/или програма, финансиран/а със средства от Европейския съюз: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II.2.14) Допълнителна информация: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II.2) Описание 1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II.2.1) Наименование: 2 Настолни компютри</w:t>
      </w:r>
      <w:r w:rsidRPr="00C06F55">
        <w:rPr>
          <w:lang w:val="en-US"/>
        </w:rPr>
        <w:tab/>
        <w:t>Обособена позиция №: 2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II.2.2) Допълнителни CPV кодове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30213300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II.2.3) Място на изпълнение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код NUTS: 1 BG411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Основно място на изпълнение: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Университет за национално и световно стопанство – гр. София, Студентски град „Хр. Ботев“, ул. 8-ми декември.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 базата на предходните три рамкови споразумения и прогнозите си за бъдещи периоди, възложителя предвижда да закупи 175бр. настолни компютри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II.2.5) Критерии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Критерий за качество: 1 2 20 НЕ</w:t>
      </w:r>
      <w:r w:rsidRPr="00C06F55">
        <w:rPr>
          <w:lang w:val="en-US"/>
        </w:rPr>
        <w:tab/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Цена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Тежест: 21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II.2.11) Информация относно опциите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Описание на опциите: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II.2.13) Информация относно средства от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във връзка с проект и/или програма, финансиран/а със средства от Европейския съюз: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II.2.14) Допълнителна информация: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II.2) Описание 1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II.2.1) Наименование: 2 Преносими компютри и таблети</w:t>
      </w:r>
      <w:r w:rsidRPr="00C06F55">
        <w:rPr>
          <w:lang w:val="en-US"/>
        </w:rPr>
        <w:tab/>
        <w:t>Обособена позиция №: 2 3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II.2.2) Допълнителни CPV кодове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30213100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30213200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II.2.3) Място на изпълнение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код NUTS: 1 BG411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Основно място на изпълнение: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Университет за национално и световно стопанство – гр. София, Студентски град „Хр. Ботев“, ул. 8-ми декември.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На базата на предходните три рамкови споразумения и прогнозите си за бъдещи периоди, възложителя предвижда да закупи 70бр. преносими компютри и 40бр. таблета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II.2.5) Критерии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Критерий за качество: 1 2 20 НЕ</w:t>
      </w:r>
      <w:r w:rsidRPr="00C06F55">
        <w:rPr>
          <w:lang w:val="en-US"/>
        </w:rPr>
        <w:tab/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Цена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Тежест: 21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II.2.11) Информация относно опциите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Описание на опциите: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II.2.13) Информация относно средства от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във връзка с проект и/или програма, финансиран/а със средства от Европейския съюз: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II.2.14) Допълнителна информация: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II.2) Описание 1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II.2.1) Наименование: 2 Монитори</w:t>
      </w:r>
      <w:r w:rsidRPr="00C06F55">
        <w:rPr>
          <w:lang w:val="en-US"/>
        </w:rPr>
        <w:tab/>
        <w:t>Обособена позиция №: 2 4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II.2.2) Допълнителни CPV кодове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33195100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II.2.3) Място на изпълнение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код NUTS: 1 BG411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Основно място на изпълнение: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Университет за национално и световно стопанство – гр. София, Студентски град „Хр. Ботев“, ул. 8-ми декември.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 базата на предходните три рамкови споразумения и прогнозите си за бъдещи периоди, възложителя предвижда да закупи 166бр. монитори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II.2.5) Критерии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Критерий за качество: 1 2 20 НЕ</w:t>
      </w:r>
      <w:r w:rsidRPr="00C06F55">
        <w:rPr>
          <w:lang w:val="en-US"/>
        </w:rPr>
        <w:tab/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Цена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Тежест: 21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II.2.11) Информация относно опциите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Описание на опциите: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II.2.13) Информация относно средства от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във връзка с проект и/или програма, финансиран/а със средства от Европейския съюз: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II.2.14) Допълнителна информация: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II.2) Описание 1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II.2.1) Наименование: 2 Принтери, скенери и многофункционални устройства</w:t>
      </w:r>
      <w:r w:rsidRPr="00C06F55">
        <w:rPr>
          <w:lang w:val="en-US"/>
        </w:rPr>
        <w:tab/>
        <w:t>Обособена позиция №: 2 5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II.2.2) Допълнителни CPV кодове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30232110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30232130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30216110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II.2.3) Място на изпълнение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код NUTS: 1 BG411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Основно място на изпълнение: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Университет за национално и световно стопанство – гр. София, Студентски град „Хр. Ботев“, ул. 8-ми декември.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 базата на предходните три рамкови споразумения и прогнозите си за бъдещи периоди, възложителя предвижда да закупи 50бр. принтери, 14бр. скенери, 77бр. МФУ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II.2.5) Критерии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Критерий за качество: 1 2 20 НЕ</w:t>
      </w:r>
      <w:r w:rsidRPr="00C06F55">
        <w:rPr>
          <w:lang w:val="en-US"/>
        </w:rPr>
        <w:tab/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Цена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Тежест: 21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II.2.11) Информация относно опциите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Описание на опциите: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II.2.13) Информация относно средства от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във връзка с проект и/или програма, финансиран/а със средства от Европейския съюз: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II.2.14) Допълнителна информация: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 лв.без ДДС.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II.2) Описание 1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II.2.1) Наименование: 2 Непрекъсваеми токозахранващи устройства</w:t>
      </w:r>
      <w:r w:rsidRPr="00C06F55">
        <w:rPr>
          <w:lang w:val="en-US"/>
        </w:rPr>
        <w:tab/>
        <w:t>Обособена позиция №: 2 6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II.2.2) Допълнителни CPV кодове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Основен CPV код: 1 31154000      Допълнителен CPV код: 1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II.2.3) Място на изпълнение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код NUTS: 1 BG411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Основно място на изпълнение: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Университет за национално и световно стопанство – гр. София, Студентски град „Хр. Ботев“, ул. 8-ми декември.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 базата на предходните три рамкови споразумения и прогнозите си за бъдещи периоди, възложителя предвижда да закупи - 7бр. UPS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II.2.5) Критерии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Критерий за качество: 1 2 20 НЕ</w:t>
      </w:r>
      <w:r w:rsidRPr="00C06F55">
        <w:rPr>
          <w:lang w:val="en-US"/>
        </w:rPr>
        <w:tab/>
        <w:t xml:space="preserve">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Цена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Тежест: 21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II.2.11) Информация относно опциите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Опции: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Описание на опциите: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II.2.13) Информация относно средства от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във връзка с проект и/или програма, финансиран/а със средства от Европейския съюз: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II.2.14) Допълнителна информация: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 лв.без ДДС.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Раздел IV:Процедура 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IV.1) Описание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IV.1.1)Вид процедура: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Открита процедура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Ускорена процедура: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Обосновка за избор на ускорена процедура: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IV.1.3) Информация относно рамково споразмение или динамична система за покупки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Тази обществена поръчка обхваща сключването на рамково споразумение: ДА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Установена е динамична система за покупки: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IV.1.6) Информация относно електронния търг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Използван е електронен търг: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IV.1.8) Информация относно Споразумението за държавни поръчки (GPA)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попада в обхвата на Споразумението за държавни поръчки (GPA):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IV.2) Административна информация 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IV.2.1) Предишна публикация относно тази процедура 2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Номер на обявлението в ОВ на ЕС: 2020/S 061-145230 (напр. 2015/S 123-123456)   и  Номер на обявлението в РОП: 967264 (напр. 123456)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IV.2.8) Информация относно прекратяване на динамична система за покупки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Раздел V: Възлагане на поръчката 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 №:     Обособена позиция №: 2 3   Наименование: Преносими компютри и таблети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Възложена е поръчка/обособена позиция: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V.1) Информация относно невъзлагане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Поръчката/обособената позиция не е възложена: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Други причини (прекратяване на процедурата)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V.2) Възлагане на поръчката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V.2.1) Дата на сключване на договора: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V.2.2) Информация относно оферти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получените оферти: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постъпили от МСП:  (МСП - както е определено в Препоръка 2003/361/ЕО на Комисията)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постъпили от оференти от други държави-членки на 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постъпили от оференти от държави, които не са членки на 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получени по електронен път: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 е възложена на група от икономически оператори: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V.2.4) Информация относно стойността на поръчката/обособената позиция (без да се включва ДДС)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Първоначална обща прогнозна стойност на поръчката/обособената позиция: 2       Валута: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Обща стойност на поръчката/обособената позиция:       Валута: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или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Най-ниска оферта:  / Най-висока оферта:  Валута:  които са взети предвид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(за рамкови споразумения - обща максимална стойност за тази обособена позиция)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V.2.5) Информация относно възлагането на подизпълнител/и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Има възможност поръчката да бъде възложена на подизпълнител/и: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Стойност или дял от поръчката, които е възможно да бъдат възложени на подизпълнители 4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Стойност, без да се включва ДДС:       Валута: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Дял:  %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Кратко описание на дела от поръчката, който ще бъде възложен на подизпълнители: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Раздел V: Възлагане на поръчката 1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 №:     Обособена позиция №: 2 5   Наименование: Принтери, скенери и многофункционални устройства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Възложена е поръчка/обособена позиция: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V.1) Информация относно невъзлагане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Поръчката/обособената позиция не е възложена: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 са получени оферти или заявления за участие или всички са били отхвърлени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V.2) Възлагане на поръчката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V.2.1) Дата на сключване на договора: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V.2.2) Информация относно оферти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получените оферти: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постъпили от МСП:  (МСП - както е определено в Препоръка 2003/361/ЕО на Комисията)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постъпили от оференти от други държави-членки на 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постъпили от оференти от държави, които не са членки на 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Брой на офертите, получени по електронен път: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 е възложена на група от икономически оператори: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V.2.4) Информация относно стойността на поръчката/обособената позиция (без да се включва ДДС)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Първоначална обща прогнозна стойност на поръчката/обособената позиция: 2       Валута: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Обща стойност на поръчката/обособената позиция:       Валута: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или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Най-ниска оферта:  / Най-висока оферта:  Валута:  които са взети предвид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рамкови споразумения - обща максимална стойност за тази обособена позиция)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V.2.5) Информация относно възлагането на подизпълнител/и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Има възможност поръчката да бъде възложена на подизпълнител/и: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Стойност или дял от поръчката, които е възможно да бъдат възложени на подизпълнители 4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Стойност, без да се включва ДДС:       Валута: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Дял:  %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Кратко описание на дела от поръчката, който ще бъде възложен на подизпълнители: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Раздел VI: Допълнителна информация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VI.3) Допълнителна информация 2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Обособена позиция№3“Преносими компютри и таблети”–прекратена на основание чл.110, ал.2, т. 2 от ЗОП, тъй като има само една подходяща оферта. Наличието само на една подходяща оферта води до невъзможност да се сравни офертата в конкурентна среда, за да бъде избрано най-изгодното предложение. Липсата на конкурентност и състезателност по обособената позиция при провеждането на обществената поръчка, води до невъзможност за постигне в максимална степен задоволяване на интересите на възложителя и постигане целта на закона за ефективно разходване на средствата, посочени в чл. 1, ал. 1 от ЗОП. За Възложителя това е от изключителна важност по конкретната обособена позиция, поради високата стойност на продуктите включени в нея и очакваното потребление за периода, посочен в обявлението за откриване на поръчката.Обособена позиция№5“Принтери, скенери и многофункционални устройства”–прекратена на основание чл.110, ал.1, т. 2 от ЗОП, тъй като всички оферти не отговарят на условията за представяне.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VI.4) Процедури по обжалване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VI.4.1) Орган, който отговаря за процедурите по обжалване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Официално наименование: Комисия за защита на конкуренцията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Пощенски адрес: бул. Витоша № 18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Град: София</w:t>
      </w:r>
      <w:r w:rsidRPr="00C06F55">
        <w:rPr>
          <w:lang w:val="en-US"/>
        </w:rPr>
        <w:tab/>
        <w:t>Пощенски код: 1000</w:t>
      </w:r>
      <w:r w:rsidRPr="00C06F55">
        <w:rPr>
          <w:lang w:val="en-US"/>
        </w:rPr>
        <w:tab/>
        <w:t>Държава: България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Електронна поща: cpcadmin@cpc.bg</w:t>
      </w:r>
      <w:r w:rsidRPr="00C06F55">
        <w:rPr>
          <w:lang w:val="en-US"/>
        </w:rPr>
        <w:tab/>
        <w:t>Телефон: +359 29884070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Интернет адрес: (URL) http://www.cpc.bg</w:t>
      </w:r>
      <w:r w:rsidRPr="00C06F55">
        <w:rPr>
          <w:lang w:val="en-US"/>
        </w:rPr>
        <w:tab/>
        <w:t>Факс: +359 29807315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VI.4.2) Орган, който отговаря за процедурите по медиация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Официално наименование: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Пощенски адрес: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Град:</w:t>
      </w:r>
      <w:r w:rsidRPr="00C06F55">
        <w:rPr>
          <w:lang w:val="en-US"/>
        </w:rPr>
        <w:tab/>
        <w:t>Пощенски код:</w:t>
      </w:r>
      <w:r w:rsidRPr="00C06F55">
        <w:rPr>
          <w:lang w:val="en-US"/>
        </w:rPr>
        <w:tab/>
        <w:t>Държава: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Електронна поща:</w:t>
      </w:r>
      <w:r w:rsidRPr="00C06F55">
        <w:rPr>
          <w:lang w:val="en-US"/>
        </w:rPr>
        <w:tab/>
        <w:t>Телефон: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Интернет адрес: (URL)</w:t>
      </w:r>
      <w:r w:rsidRPr="00C06F55">
        <w:rPr>
          <w:lang w:val="en-US"/>
        </w:rPr>
        <w:tab/>
        <w:t>Факс: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VI.4.3) Подаване на жалби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Точна информация относно краен срок/крайни срокове за подаване на жалби: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VI.4.4) Служба, от която може да бъде получена информация относно подаването на жалби 2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Официално наименование: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Пощенски адрес: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Град:</w:t>
      </w:r>
      <w:r w:rsidRPr="00C06F55">
        <w:rPr>
          <w:lang w:val="en-US"/>
        </w:rPr>
        <w:tab/>
        <w:t>Пощенски код:</w:t>
      </w:r>
      <w:r w:rsidRPr="00C06F55">
        <w:rPr>
          <w:lang w:val="en-US"/>
        </w:rPr>
        <w:tab/>
        <w:t>Държава: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Електронна поща:</w:t>
      </w:r>
      <w:r w:rsidRPr="00C06F55">
        <w:rPr>
          <w:lang w:val="en-US"/>
        </w:rPr>
        <w:tab/>
        <w:t>Телефон: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Интернет адрес: (URL)</w:t>
      </w:r>
      <w:r w:rsidRPr="00C06F55">
        <w:rPr>
          <w:lang w:val="en-US"/>
        </w:rPr>
        <w:tab/>
        <w:t>Факс: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VI.5) Дата на изпращане на настоящото обявление: 08/10/2020 (дд/мм/гггг)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Приложение Г1 - Обществени поръчки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Директива 2014/24/EC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(моля, изберете съответната опция и представете обяснение)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Няма оферти или няма подходящи оферти/заявления за участие в отговор на: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</w:t>
      </w: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</w:t>
      </w: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Допълнителни доставки от първоначалния доставчик, възложени при строгите условия, указани в директивата: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Осигуряване на доставки, които са котирани и закупени на стоковата борса: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Покупка на доставки или услуги при особено изгодни условия: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</w:t>
      </w: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не попада в обхвата на приложение на директивата: 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3. Обяснение: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(максимум 500 думи)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Приложение Г5 - обществени поръчки на ниска стойност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Основания за възлагане на поръчка чрез пряко договаряне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ЗОП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(моля, изберете съответната опция и представете обяснение)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1. Основания за избор на процедура на пряко договаряне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</w:t>
      </w: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Допълнителни доставки от първоначалния доставчик, възложени при условията, указани в ЗОП;: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Покупка на доставки или услуги при особено изгодни условия::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 xml:space="preserve"> </w:t>
      </w: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Обществената поръчка е за услуги по приложение № 2 и е на стойност по чл. 20, ал. 2, т. 2 от ЗОП: НЕ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2. Обяснение: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(максимум 500 думи)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06F55" w:rsidRPr="00C06F55" w:rsidRDefault="00C06F55" w:rsidP="00C06F55">
      <w:pPr>
        <w:rPr>
          <w:lang w:val="en-US"/>
        </w:rPr>
      </w:pP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</w:t>
      </w:r>
      <w:r w:rsidRPr="00C06F55">
        <w:rPr>
          <w:lang w:val="en-US"/>
        </w:rPr>
        <w:tab/>
        <w:t>моля, повторете, колкото пъти е необходимо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2</w:t>
      </w:r>
      <w:r w:rsidRPr="00C06F55">
        <w:rPr>
          <w:lang w:val="en-US"/>
        </w:rPr>
        <w:tab/>
        <w:t>в приложимите случаи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3</w:t>
      </w:r>
      <w:r w:rsidRPr="00C06F55">
        <w:rPr>
          <w:lang w:val="en-US"/>
        </w:rPr>
        <w:tab/>
        <w:t>моля, повторете, колкото пъти е необходимо, ако това обявление е само за предварителна информация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lastRenderedPageBreak/>
        <w:t>4</w:t>
      </w:r>
      <w:r w:rsidRPr="00C06F55">
        <w:rPr>
          <w:lang w:val="en-US"/>
        </w:rPr>
        <w:tab/>
        <w:t>ако тази информация е известна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5</w:t>
      </w:r>
      <w:r w:rsidRPr="00C06F55">
        <w:rPr>
          <w:lang w:val="en-US"/>
        </w:rPr>
        <w:tab/>
        <w:t>моля, представете тази информация, ако обявлението е покана за участие в състезателна процедура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6</w:t>
      </w:r>
      <w:r w:rsidRPr="00C06F55">
        <w:rPr>
          <w:lang w:val="en-US"/>
        </w:rPr>
        <w:tab/>
        <w:t>доколкото информацията е вече известна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7</w:t>
      </w:r>
      <w:r w:rsidRPr="00C06F55">
        <w:rPr>
          <w:lang w:val="en-US"/>
        </w:rPr>
        <w:tab/>
        <w:t>задължителна информация, която не се публикува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8</w:t>
      </w:r>
      <w:r w:rsidRPr="00C06F55">
        <w:rPr>
          <w:lang w:val="en-US"/>
        </w:rPr>
        <w:tab/>
        <w:t>информация по избор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9</w:t>
      </w:r>
      <w:r w:rsidRPr="00C06F55">
        <w:rPr>
          <w:lang w:val="en-US"/>
        </w:rPr>
        <w:tab/>
        <w:t>моля, представете тази информация само ако обявлението е за предварителна информация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10</w:t>
      </w:r>
      <w:r w:rsidRPr="00C06F55">
        <w:rPr>
          <w:lang w:val="en-US"/>
        </w:rPr>
        <w:tab/>
        <w:t>моля, представете тази информация само ако обявлението е обявление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11</w:t>
      </w:r>
      <w:r w:rsidRPr="00C06F55">
        <w:rPr>
          <w:lang w:val="en-US"/>
        </w:rPr>
        <w:tab/>
        <w:t>само ако обявлението се отнася до квалификационна система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12</w:t>
      </w:r>
      <w:r w:rsidRPr="00C06F55">
        <w:rPr>
          <w:lang w:val="en-US"/>
        </w:rP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13</w:t>
      </w:r>
      <w:r w:rsidRPr="00C06F55">
        <w:rPr>
          <w:lang w:val="en-US"/>
        </w:rP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14</w:t>
      </w:r>
      <w:r w:rsidRPr="00C06F55">
        <w:rPr>
          <w:lang w:val="en-US"/>
        </w:rPr>
        <w:tab/>
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15</w:t>
      </w:r>
      <w:r w:rsidRPr="00C06F55">
        <w:rPr>
          <w:lang w:val="en-US"/>
        </w:rPr>
        <w:tab/>
        <w:t>моля, представете тази информация тук или, ако е приложимо, в поканата за подаване на оферти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16</w:t>
      </w:r>
      <w:r w:rsidRPr="00C06F55">
        <w:rPr>
          <w:lang w:val="en-US"/>
        </w:rPr>
        <w:tab/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17</w:t>
      </w:r>
      <w:r w:rsidRPr="00C06F55">
        <w:rPr>
          <w:lang w:val="en-US"/>
        </w:rPr>
        <w:tab/>
        <w:t>задължителна информация, ако това е обявление за възлагане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18</w:t>
      </w:r>
      <w:r w:rsidRPr="00C06F55">
        <w:rPr>
          <w:lang w:val="en-US"/>
        </w:rPr>
        <w:tab/>
        <w:t>само ако обявлението не се отнася до квалификационна система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19</w:t>
      </w:r>
      <w:r w:rsidRPr="00C06F55">
        <w:rPr>
          <w:lang w:val="en-US"/>
        </w:rPr>
        <w:tab/>
        <w:t>ако обявлението има за цел намаляване на срока за получаване на оферти</w:t>
      </w:r>
    </w:p>
    <w:p w:rsidR="00C06F55" w:rsidRPr="00C06F55" w:rsidRDefault="00C06F55" w:rsidP="00C06F55">
      <w:pPr>
        <w:rPr>
          <w:lang w:val="en-US"/>
        </w:rPr>
      </w:pPr>
      <w:r w:rsidRPr="00C06F55">
        <w:rPr>
          <w:lang w:val="en-US"/>
        </w:rPr>
        <w:t>20</w:t>
      </w:r>
      <w:r w:rsidRPr="00C06F55">
        <w:rPr>
          <w:lang w:val="en-US"/>
        </w:rPr>
        <w:tab/>
        <w:t>може да бъде присъдена значимост вместо тежест</w:t>
      </w:r>
    </w:p>
    <w:p w:rsidR="00AB4614" w:rsidRPr="00C06F55" w:rsidRDefault="00C06F55" w:rsidP="00C06F55">
      <w:pPr>
        <w:rPr>
          <w:lang w:val="en-US"/>
        </w:rPr>
      </w:pPr>
      <w:r w:rsidRPr="00C06F55">
        <w:rPr>
          <w:lang w:val="en-US"/>
        </w:rPr>
        <w:t>21</w:t>
      </w:r>
      <w:r w:rsidRPr="00C06F55">
        <w:rPr>
          <w:lang w:val="en-US"/>
        </w:rP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AB4614" w:rsidRPr="00C06F55" w:rsidSect="00C06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71"/>
    <w:rsid w:val="00A36D71"/>
    <w:rsid w:val="00AB4614"/>
    <w:rsid w:val="00C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D461-AA78-4EC7-9679-21B29AA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2020-10-12T10:16:00Z</dcterms:created>
  <dcterms:modified xsi:type="dcterms:W3CDTF">2020-10-12T10:32:00Z</dcterms:modified>
</cp:coreProperties>
</file>