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03" w:rsidRPr="00BB4003" w:rsidRDefault="00BB4003" w:rsidP="00BB40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BB4003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5" style="width:0;height:1.5pt" o:hralign="center" o:hrstd="t" o:hr="t" fillcolor="#a0a0a0" stroked="f"/>
        </w:pic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BB40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00062-2019-0017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56020AB" wp14:editId="3FF1FE12">
                  <wp:extent cx="993775" cy="683895"/>
                  <wp:effectExtent l="0" t="0" r="0" b="1905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BB40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BB4003" w:rsidRPr="00BB4003" w:rsidRDefault="00BB4003" w:rsidP="00BB40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BB4003" w:rsidRPr="00BB4003" w:rsidTr="00BB40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BB40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BB40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http://zop2.unwe.bg/Document?folderId=427</w:t>
              </w:r>
            </w:hyperlink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7"/>
        <w:gridCol w:w="1967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хигиенни материали, пособия и почистващи препарати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39800000      Допълнителен CPV код: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хигиенни материали, пособия и почистващи препарати за нуждите на УНСС и поделения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2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10"/>
              <w:gridCol w:w="2804"/>
            </w:tblGrid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УНСС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УНСС: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WC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кошничка, WC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пълнител, Салфетки, Хартиени кърпи за ръце, Тоалетна хартия, Четка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четка с поставка, Бърсалка за под за мокро почистване, Дръжка за бърсалка и четка, Метла дворна, Ръкавици домакински,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кърпа, Мека кърпа за прах, Попивателна гъба, Домакинска гъба, Лопата за смет,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Резервни части за наличните професионални колички производство на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Filmop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или еквивалент,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МОП, Дръжка за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моп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МОП, Подложка - освежител за писоар с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датник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За всеки артикул включен в техническата спецификация участника задължително представя мостра.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9"/>
              <w:gridCol w:w="2775"/>
            </w:tblGrid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П“ССО“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П“ССО“: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Тоалетна хартия, Тоалетна хартия за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диспенсър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Ароматизатор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с кошничка, Хартиени кърпи за ръце, Четка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Бърсалка за под за мокро почистване, Дръжка за бърсалка и четка, Метла дворна, Ръкавици домакински, Домакински ръкавици,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Телчета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/метални/ за миене на съдове, Попивателна гъба, Домакинска гъба, Мека кърпа за прах, Четка с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пласмасова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дръжка, Четка телена за почистване на скара, МОП за мокро почистване, Лопатка,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Салфетки, Морска сол.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6"/>
              <w:gridCol w:w="2448"/>
            </w:tblGrid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„Издателски комплекс - УНСС"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„Издателски комплекс - УНСС":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Четка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подопочистваща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WC четка с поставка, Бърсалка за под за мокро почистване, Дръжка за бърсалка и четка, Метла дворна, Ръкавици домакински, Лопата за смет,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 МОП, Дръжка за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на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моп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, МОП.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За всеки артикул включен в техническата спецификация участника задължително представя мостра.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68"/>
              <w:gridCol w:w="2646"/>
            </w:tblGrid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РЦДО гр. Хасково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РЦДО гр. Хасково: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Гумено перо за почистване на стъкла, Гъба за почистване на бяла дъска, Домакински гъби, Лопатка за смет, Метла, МОП, Работни ръкавици,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Стъклопочиствач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Тоалетна хартия, Четка за почистване на щори, Четка за тоалетна, Четка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/МОП с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микрофибърна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кърпа/, Кърпа за МОП микрофибър, Четка с дръжка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18"/>
              <w:gridCol w:w="2696"/>
            </w:tblGrid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хигиенни материали, пособия и почистващи препарати за нуждите на УОБ - с. Равда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39800000      Допълнителен CPV код: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BG341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с. Равда,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обл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. Бургас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хигиенни материали, пособия и почистващи препарати за нуждите на УОБ - с. Равда: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Тоалетна хартия, Прах за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пране,Белина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, Белина обикновена,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Кислол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, Веро балсам, Метла с дръжка - обикновена, Четка за метене с мек косъм, Бърсалка въже, Четка за метене на стопански площи, WC гел, Хлор - туба, Хлор - таблетки, Дръжка хром \цилиндър и конус\,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Подочистачка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единична, Стъклочистачка с дръжка,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Швантух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\малък\, Ръкавици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латексови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комплект, Тел за съдове, Гъба домакинска - голяма, Гъба домакинска - малка, Лента за мухи, Хартия кухненска ролка голяма, </w:t>
                  </w:r>
                  <w:proofErr w:type="spellStart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Пласмасова</w:t>
                  </w:r>
                  <w:proofErr w:type="spellEnd"/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лопата с дръжка с четка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BB4003" w:rsidRPr="00BB400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B4003" w:rsidRPr="00BB4003" w:rsidT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BB4003" w:rsidRPr="00BB400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4003" w:rsidRPr="00BB4003" w:rsidRDefault="00BB4003" w:rsidP="00BB40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B400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918100 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„Издателски комплекс - УНСС"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Стойност, без да се включва ДДС: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хигиенни материали, пособия и почистващи препарати за нуждите на РЦДО гр. Хасково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BB4003" w:rsidRPr="00BB400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4003" w:rsidRPr="00BB4003" w:rsidRDefault="00BB4003" w:rsidP="00BB4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B4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Обща стойност на поръчката/обособената позиция: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BB4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BB400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Официално наименование: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BB4003" w:rsidRPr="00BB400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BB40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4003" w:rsidRPr="00BB4003" w:rsidRDefault="00BB4003" w:rsidP="00BB4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B4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30/09/2019 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7" style="width:0;height:1.5pt" o:hralign="center" o:hrstd="t" o:hr="t" fillcolor="#a0a0a0" stroked="f"/>
        </w:pic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BB4003" w:rsidRPr="00BB4003" w:rsidTr="00BB400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BB4003" w:rsidRPr="00BB4003" w:rsidTr="00BB400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BB4003" w:rsidRPr="00BB4003" w:rsidTr="00BB400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8" style="width:0;height:1.5pt" o:hralign="center" o:hrstd="t" o:hr="t" fillcolor="#a0a0a0" stroked="f"/>
        </w:pic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lastRenderedPageBreak/>
        <w:t>(моля, изберете съответната опция и представете обяснение)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BB4003" w:rsidRPr="00BB4003" w:rsidTr="00BB400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BB4003" w:rsidRPr="00BB4003" w:rsidTr="00BB400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4003" w:rsidRPr="00BB4003" w:rsidRDefault="00BB4003" w:rsidP="00BB4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B4003" w:rsidRPr="00BB4003" w:rsidRDefault="00BB4003" w:rsidP="00BB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400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B4003" w:rsidRPr="00BB4003" w:rsidTr="00BB40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B4003" w:rsidRPr="00BB4003" w:rsidRDefault="00BB4003" w:rsidP="00BB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40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B4003" w:rsidRPr="00BB4003" w:rsidRDefault="00BB4003" w:rsidP="00BB40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BB4003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A5DEF" w:rsidRDefault="008A5DEF">
      <w:bookmarkStart w:id="0" w:name="_GoBack"/>
      <w:bookmarkEnd w:id="0"/>
    </w:p>
    <w:sectPr w:rsidR="008A5DEF" w:rsidSect="00BB4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12"/>
    <w:rsid w:val="00156B12"/>
    <w:rsid w:val="008A5DEF"/>
    <w:rsid w:val="00B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4BE3B-6E42-44B6-BA90-7FF6BAFD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3409</Words>
  <Characters>19432</Characters>
  <Application>Microsoft Office Word</Application>
  <DocSecurity>0</DocSecurity>
  <Lines>161</Lines>
  <Paragraphs>45</Paragraphs>
  <ScaleCrop>false</ScaleCrop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2019-09-30T11:56:00Z</dcterms:created>
  <dcterms:modified xsi:type="dcterms:W3CDTF">2019-09-30T11:57:00Z</dcterms:modified>
</cp:coreProperties>
</file>