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CC" w:rsidRPr="007C05CC" w:rsidRDefault="007C05CC" w:rsidP="007C05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7C05CC">
        <w:rPr>
          <w:rFonts w:ascii="Arial" w:eastAsia="Times New Roman" w:hAnsi="Arial" w:cs="Arial"/>
          <w:vanish/>
          <w:sz w:val="16"/>
          <w:szCs w:val="16"/>
          <w:lang w:bidi="he-IL"/>
        </w:rPr>
        <w:t>Top of Form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in;height:18pt" o:ole="">
            <v:imagedata r:id="rId5" o:title=""/>
          </v:shape>
          <w:control r:id="rId6" w:name="DefaultOcxName" w:shapeid="_x0000_i1052"/>
        </w:objec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1" type="#_x0000_t75" style="width:1in;height:18pt" o:ole="">
            <v:imagedata r:id="rId7" o:title=""/>
          </v:shape>
          <w:control r:id="rId8" w:name="DefaultOcxName1" w:shapeid="_x0000_i1051"/>
        </w:objec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0" type="#_x0000_t75" style="width:1in;height:18pt" o:ole="">
            <v:imagedata r:id="rId9" o:title=""/>
          </v:shape>
          <w:control r:id="rId10" w:name="DefaultOcxName2" w:shapeid="_x0000_i1050"/>
        </w:objec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9" type="#_x0000_t75" style="width:1in;height:18pt" o:ole="">
            <v:imagedata r:id="rId11" o:title=""/>
          </v:shape>
          <w:control r:id="rId12" w:name="DefaultOcxName3" w:shapeid="_x0000_i1049"/>
        </w:objec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8" type="#_x0000_t75" style="width:1in;height:18pt" o:ole="">
            <v:imagedata r:id="rId13" o:title=""/>
          </v:shape>
          <w:control r:id="rId14" w:name="DefaultOcxName4" w:shapeid="_x0000_i1048"/>
        </w:objec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7" type="#_x0000_t75" style="width:1in;height:18pt" o:ole="">
            <v:imagedata r:id="rId5" o:title=""/>
          </v:shape>
          <w:control r:id="rId15" w:name="DefaultOcxName5" w:shapeid="_x0000_i1047"/>
        </w:object>
      </w:r>
    </w:p>
    <w:p w:rsidR="007C05CC" w:rsidRPr="007C05CC" w:rsidRDefault="007C05CC" w:rsidP="007C05C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5" style="width:0;height:1.5pt" o:hralign="center" o:hrstd="t" o:hr="t" fillcolor="#a0a0a0" stroked="f"/>
        </w:pict>
      </w:r>
    </w:p>
    <w:p w:rsidR="007C05CC" w:rsidRPr="007C05CC" w:rsidRDefault="007C05CC" w:rsidP="007C05C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 Деловодна информация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995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Партида на възложителя: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Поделение: 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Изходящ номер:  от дата: 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Съгласен съм с </w:t>
            </w:r>
            <w:hyperlink r:id="rId16" w:tgtFrame="_blank" w:history="1">
              <w:r w:rsidRPr="007C05CC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Общите условия</w:t>
              </w:r>
            </w:hyperlink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Дата на изпращане на обявлението до ОВ на ЕС: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09/09/2019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 xml:space="preserve">Заведено в преписка: </w:t>
            </w:r>
            <w:r w:rsidRPr="007C05C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bidi="he-IL"/>
              </w:rPr>
              <w:t>00062-2018-0008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(nnnnn-yyyy-xxxx)</w:t>
            </w:r>
          </w:p>
        </w:tc>
      </w:tr>
    </w:tbl>
    <w:p w:rsidR="007C05CC" w:rsidRPr="007C05CC" w:rsidRDefault="007C05CC" w:rsidP="007C05C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noProof/>
                <w:sz w:val="16"/>
                <w:szCs w:val="16"/>
                <w:lang w:bidi="he-IL"/>
              </w:rPr>
              <w:drawing>
                <wp:inline distT="0" distB="0" distL="0" distR="0" wp14:anchorId="48600430" wp14:editId="268D71CB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  <w:t>Притурка към Официален вестник на Европейския съюз</w:t>
            </w:r>
          </w:p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Информация и онлайн формуляри: </w:t>
            </w:r>
            <w:hyperlink r:id="rId18" w:tgtFrame="_blank" w:history="1">
              <w:r w:rsidRPr="007C05CC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http://simap.ted.europa.eu</w:t>
              </w:r>
            </w:hyperlink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  <w:t>Обявление за възложена поръчка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  <w:t>Резултати от процедурата за възлагане на обществена поръчка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2014/24/ЕС/ЗОП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 Раздел I: Възлагащ орган</w:t>
      </w:r>
    </w:p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I.1) Наименование и адреси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7C05CC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1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посочете всички възлагащи органи, които отговарят за процедурата)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141"/>
        <w:gridCol w:w="2464"/>
        <w:gridCol w:w="3197"/>
      </w:tblGrid>
      <w:tr w:rsidR="007C05CC" w:rsidRPr="007C05CC" w:rsidTr="007C05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Официално наименование: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Национален регистрационен номер: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000670602</w:t>
            </w:r>
          </w:p>
        </w:tc>
      </w:tr>
      <w:tr w:rsidR="007C05CC" w:rsidRPr="007C05CC" w:rsidTr="007C05C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адрес: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Студентски град, ул. 8-ми декември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Град: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код NUTS: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код: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Държава: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България</w:t>
            </w:r>
          </w:p>
        </w:tc>
      </w:tr>
      <w:tr w:rsidR="007C05CC" w:rsidRPr="007C05CC" w:rsidTr="007C05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Лице за контакт: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Самуил Авдала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Телефон: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+359 8195516</w:t>
            </w:r>
          </w:p>
        </w:tc>
      </w:tr>
      <w:tr w:rsidR="007C05CC" w:rsidRPr="007C05CC" w:rsidTr="007C05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Електронна поща: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avdala@unwe.bg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Факс: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+359 8195516</w:t>
            </w:r>
          </w:p>
        </w:tc>
      </w:tr>
      <w:tr w:rsidR="007C05CC" w:rsidRPr="007C05CC" w:rsidTr="007C05C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Интернет адрес/и</w:t>
            </w:r>
          </w:p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Основен адрес: 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19" w:tgtFrame="_blank" w:history="1">
              <w:r w:rsidRPr="007C05C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www.unwe.bg</w:t>
              </w:r>
            </w:hyperlink>
          </w:p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Адрес на профила на купувача: 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20" w:tgtFrame="_blank" w:history="1">
              <w:r w:rsidRPr="007C05C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http://zop2.unwe.bg/Dokument?folderId=439</w:t>
              </w:r>
            </w:hyperlink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I.2) Съвместно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9071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 обхваща съвместно възлагане: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  <w:tr w:rsidR="007C05CC" w:rsidRPr="007C05CC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Поръчката се възлага от централен орган за покупки: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I.4) Вид на възлагащия орган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I.5) Основна дейност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Образование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Раздел II: Предмет</w:t>
      </w:r>
    </w:p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II.1) Обхват на обществената поръчка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7"/>
        <w:gridCol w:w="1419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II.1.1) Наименование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„ДОСТАВКА НА КОМПЮТЪРНА ТЕХНИКА ЗА НУЖДИТЕ НА УНИВЕРСИТЕТСКИ ЦЕНТЪР ЗА МОБИЛНОСТ НА СТУДЕНТИ И ПРЕПОДАВАТЕЛИ ПРИ УНСС - ПОРЪЧКА С ПОРЕДЕН №10”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Референтен номер: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II.1.2) Основен CPV код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30000000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     Допълнителен CPV код: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II.1.3) Вид на поръчката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Доставки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II.1.4) Кратко описание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„ДОСТАВКА НА КОМПЮТЪРНА ТЕХНИКА ЗА НУЖДИТЕ НА УНИВЕРСИТЕТСКИ ЦЕНТЪР ЗА МОБИЛНОСТ НА СТУДЕНТИ И ПРЕПОДАВАТЕЛИ ПРИ УНСС - ПОРЪЧКА С ПОРЕДЕН №10”,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да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II.1.7) Обща стойност на обществената поръчка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7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Стойност: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1087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      Валута: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BGN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или</w:t>
                  </w:r>
                </w:p>
              </w:tc>
            </w:tr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t>II.2) Описание </w:t>
            </w:r>
            <w:r w:rsidRPr="007C05C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70"/>
              <w:gridCol w:w="1320"/>
            </w:tblGrid>
            <w:tr w:rsidR="007C05CC" w:rsidRPr="007C05CC" w:rsidT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II.2.1) Наименование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“Доставка на настолни компютри за нуждите на Университетски център за мобилност на студенти и преподаватели при УНСС – поръчка с пореден №10“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30000000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lastRenderedPageBreak/>
                    <w:t>II.2.3) Място на изпълнение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Основно място на изпълнение: 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гр.София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II.2.4) Описание на обществената поръчка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“Доставка на настолни компютри за нуждите на Университетски център за мобилност на студенти и преподаватели при УНСС – поръчка с пореден №10“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4121"/>
                  </w:tblGrid>
                  <w:tr w:rsidR="007C05CC" w:rsidRPr="007C05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Име: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Срок за доставка (Кд)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   Тежест: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5</w:t>
                        </w:r>
                      </w:p>
                    </w:tc>
                  </w:tr>
                  <w:tr w:rsidR="007C05CC" w:rsidRPr="007C05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7C05CC" w:rsidRPr="007C05C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C05CC" w:rsidRPr="007C05CC" w:rsidRDefault="007C05CC" w:rsidP="007C05C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7C05C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95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II.2.13) Информация относно средства от Европейския съюз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II.2.14) Допълнителна информация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lastRenderedPageBreak/>
              <w:t>II.2) Описание </w:t>
            </w:r>
            <w:r w:rsidRPr="007C05C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4"/>
              <w:gridCol w:w="1346"/>
            </w:tblGrid>
            <w:tr w:rsidR="007C05CC" w:rsidRPr="007C05CC" w:rsidT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II.2.1) Наименование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“Доставка на монитори за нуждите на Университетски център за мобилност на студенти и преподаватели при УНСС – поръчка с пореден №10“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2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30000000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II.2.3) Място на изпълнение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Основно място на изпълнение: 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гр. София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II.2.4) Описание на обществената поръчка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“Доставка на монитори за нуждите на Университетски център за мобилност на студенти и преподаватели при УНСС – поръчка с пореден №10“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4121"/>
                  </w:tblGrid>
                  <w:tr w:rsidR="007C05CC" w:rsidRPr="007C05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Име: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Срок за доставка (Кд)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   Тежест: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5</w:t>
                        </w:r>
                      </w:p>
                    </w:tc>
                  </w:tr>
                  <w:tr w:rsidR="007C05CC" w:rsidRPr="007C05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7C05CC" w:rsidRPr="007C05C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C05CC" w:rsidRPr="007C05CC" w:rsidRDefault="007C05CC" w:rsidP="007C05C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7C05C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95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lastRenderedPageBreak/>
                    <w:t>II.2.13) Информация относно средства от Европейския съюз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7C05CC" w:rsidRPr="007C05CC" w:rsidT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II.2.14) Допълнителна информация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lastRenderedPageBreak/>
        <w:t> Раздел IV:Процедура </w:t>
      </w:r>
    </w:p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IV.1) Описание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bidi="he-IL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8"/>
                        </w:tblGrid>
                        <w:tr w:rsidR="007C05CC" w:rsidRPr="007C05C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C05CC" w:rsidRPr="007C05CC" w:rsidRDefault="007C05CC" w:rsidP="007C05C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7C05C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</w:tr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Ускорена процедура: </w:t>
                        </w:r>
                        <w:r w:rsidRPr="007C05C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НЕ</w:t>
                        </w: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Тази обществена поръчка обхваща сключването на рамково споразумение: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Установена е динамична система за покупки: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IV.1.6) Информация относно електронния търг</w:t>
            </w:r>
          </w:p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Използван е електронен търг: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7C05CC" w:rsidRPr="007C05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05CC" w:rsidRPr="007C05CC" w:rsidRDefault="007C05CC" w:rsidP="007C05C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7C05C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IV.2) Административна информация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IV.2.1) Предишна публикация относно тази процедура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Номер на обявлението в ОВ на ЕС: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2018/S 025-052828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2015/S 123-123456)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и  Номер на обявлението в РОП: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828111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123456)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IV.2.8) Информация относно прекратяване на динамична система за покупки</w:t>
            </w:r>
          </w:p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7C05CC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ЗОП-53/2019г.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 </w:t>
      </w: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7C05CC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1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</w:t>
      </w: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“Доставка на настолни компютри за нуждите на Университетски център за мобилност на студенти и преподаватели при УНСС – поръчка с пореден №10“</w:t>
      </w:r>
    </w:p>
    <w:p w:rsidR="007C05CC" w:rsidRPr="007C05CC" w:rsidRDefault="007C05CC" w:rsidP="007C05C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7C05CC" w:rsidRPr="007C05CC" w:rsidTr="007C05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да</w:t>
            </w:r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lastRenderedPageBreak/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V.2.1) Дата на сключване на договора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29/08/2019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МСП: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не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V.2.3) Наименование и адрес на изпълнителя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11"/>
              <w:gridCol w:w="2100"/>
              <w:gridCol w:w="4063"/>
            </w:tblGrid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Национален регистрационен номер: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831913775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Никола Габровски 79</w:t>
                  </w:r>
                </w:p>
              </w:tc>
            </w:tr>
            <w:tr w:rsidR="007C05CC" w:rsidRP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код NUTS: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+359 29604200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1" w:tgtFrame="_blank" w:history="1">
                    <w:r w:rsidRPr="007C05C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+359 29604218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Изпълнителят е МСП: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Първоначална обща прогнозна стойност на поръчката/обособената позиция: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      Валута: 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Обща стойност на поръчката/обособената позиция: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859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V.2.5) Информация относно възлагането на подизпълнител/и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7C05CC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ЗОП-54/2019г.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 </w:t>
      </w: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7C05CC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2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</w:t>
      </w: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“Доставка на монитори за нуждите на Университетски център за мобилност на студенти и преподаватели при УНСС – поръчка с пореден №10“</w:t>
      </w:r>
    </w:p>
    <w:p w:rsidR="007C05CC" w:rsidRPr="007C05CC" w:rsidRDefault="007C05CC" w:rsidP="007C05C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7C05CC" w:rsidRPr="007C05CC" w:rsidTr="007C05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да</w:t>
            </w:r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lastRenderedPageBreak/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V.2.1) Дата на сключване на договора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29/08/2019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МСП: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не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V.2.3) Наименование и адрес на изпълнителя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11"/>
              <w:gridCol w:w="2100"/>
              <w:gridCol w:w="4063"/>
            </w:tblGrid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Национален регистрационен номер: 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831913775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Никола Габровски №79</w:t>
                  </w:r>
                </w:p>
              </w:tc>
            </w:tr>
            <w:tr w:rsidR="007C05CC" w:rsidRP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код NUTS: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+359 29604200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+359 29604218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Изпълнителят е МСП: </w:t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7C05CC" w:rsidRPr="007C05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Първоначална обща прогнозна стойност на поръчката/обособената позиция: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      Валута: 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Обща стойност на поръчката/обособената позиция: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228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V.2.5) Информация относно възлагането на подизпълнител/и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 Раздел VI: Допълнителна информация</w:t>
      </w:r>
    </w:p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VI.3) Допълнителна информация </w:t>
      </w: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bidi="he-IL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lastRenderedPageBreak/>
        <w:t xml:space="preserve">VI.4) Процедури по обжалване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VI.4.1) Орган, който отговаря за процедурите по обжалване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3242"/>
              <w:gridCol w:w="3962"/>
            </w:tblGrid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Комисия за защита на конкуренцията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бул.Витоша 18</w:t>
                  </w:r>
                </w:p>
              </w:tc>
            </w:tr>
            <w:tr w:rsidR="007C05CC" w:rsidRP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+359 29884070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2" w:tgtFrame="_blank" w:history="1">
                    <w:r w:rsidRPr="007C05C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7C05CC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+359 29807315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VI.4.2) Орган, който отговаря за процедурите по медиация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7C05CC" w:rsidRP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VI.4.3) Подаване на жалби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Точна информация относно краен срок/крайни срокове за подаване на жалби: 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7C05CC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VI.4.4) Служба, от която може да бъде получена информация относно подаването на жалби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7C05CC" w:rsidRPr="007C05CC" w:rsidTr="007C05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7C05CC" w:rsidRPr="007C05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7C05CC" w:rsidRPr="007C05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7C05C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C05CC" w:rsidRPr="007C05CC" w:rsidRDefault="007C05CC" w:rsidP="007C05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7C05C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 xml:space="preserve">VI.5) Дата на изпращане на настоящото обявление: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09/09/2019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(дд/мм/гггг)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7" style="width:0;height:1.5pt" o:hralign="center" o:hrstd="t" o:hr="t" fillcolor="#a0a0a0" stroked="f"/>
        </w:pic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Приложение Г1 - Обществени поръчки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2014/24/EC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Няма оферти или няма подходящи оферти/заявления за участие в отговор на: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7C05CC" w:rsidRPr="007C05CC" w:rsidTr="007C05C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За услуги/стоки за научноизследователска и развойна дейност при строгите условия, указани в директивата: </w:t>
      </w: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7C05CC" w:rsidRPr="007C05CC" w:rsidTr="007C05C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строгите условия, указани в директивата: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Осигуряване на доставки, които са котирани и закупени на стоковата борса: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7C05CC" w:rsidRPr="007C05CC" w:rsidTr="007C05C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не попада в обхвата на приложение на директивата: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3. Обяснение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8" style="width:0;height:1.5pt" o:hralign="center" o:hrstd="t" o:hr="t" fillcolor="#a0a0a0" stroked="f"/>
        </w:pic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lang w:val="en" w:bidi="he-IL"/>
        </w:rPr>
        <w:t>Приложение Г5 - обществени поръчки на ниска стойност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 на поръчка чрез пряко договаряне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ЗОП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пряко договаряне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7C05CC" w:rsidRPr="007C05CC" w:rsidTr="007C05C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За услуги/стоки за научноизследователска и развойна дейност при строгите условия, указани в ЗОП </w:t>
      </w: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;: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условията, указани в ЗОП;: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7C05CC" w:rsidRPr="007C05CC" w:rsidTr="007C05C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е за услуги по приложение № 2 и е на стойност по чл. 20, ал. 2, т. 2 от ЗОП: </w:t>
      </w:r>
      <w:r w:rsidRPr="007C05CC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7C05CC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Обяснение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lastRenderedPageBreak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7C05CC" w:rsidRPr="007C05CC" w:rsidRDefault="007C05CC" w:rsidP="007C05C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C05CC" w:rsidRPr="007C05CC" w:rsidRDefault="007C05CC" w:rsidP="007C05C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7C05CC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316"/>
      </w:tblGrid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в приложимите случаи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тази информация е известна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доколкото информацията е вече известна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която не се публикува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информация по избор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се отнася до квалификационна система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ако това е обявление за възлагане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не се отнася до квалификационна система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обявлението има за цел намаляване на срока за получаване на оферти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</w:t>
            </w:r>
          </w:p>
        </w:tc>
      </w:tr>
      <w:tr w:rsidR="007C05CC" w:rsidRPr="007C05CC" w:rsidTr="007C0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05CC" w:rsidRPr="007C05CC" w:rsidRDefault="007C05CC" w:rsidP="007C05C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7C05C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C05CC" w:rsidRPr="007C05CC" w:rsidRDefault="007C05CC" w:rsidP="007C05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7C05CC">
        <w:rPr>
          <w:rFonts w:ascii="Arial" w:eastAsia="Times New Roman" w:hAnsi="Arial" w:cs="Arial"/>
          <w:vanish/>
          <w:sz w:val="16"/>
          <w:szCs w:val="16"/>
          <w:lang w:bidi="he-IL"/>
        </w:rPr>
        <w:t>Bottom of Form</w:t>
      </w:r>
    </w:p>
    <w:p w:rsidR="0087445B" w:rsidRDefault="0087445B">
      <w:bookmarkStart w:id="0" w:name="_GoBack"/>
      <w:bookmarkEnd w:id="0"/>
    </w:p>
    <w:sectPr w:rsidR="0087445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CC"/>
    <w:rsid w:val="007C05CC"/>
    <w:rsid w:val="0087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2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969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773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326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170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70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hyperlink" Target="http://simap.ted.europa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raflow.bg/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hyperlink" Target="http://www.aop.bg/fckedit2/user/File/bg/practika/e_sender_e.pdf" TargetMode="External"/><Relationship Id="rId20" Type="http://schemas.openxmlformats.org/officeDocument/2006/relationships/hyperlink" Target="http://zop2.unwe.bg/Dokument?folderId=439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hyperlink" Target="http://www.unwe.b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hyperlink" Target="http://www.cpc.bg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2019-09-10T08:56:00Z</dcterms:created>
  <dcterms:modified xsi:type="dcterms:W3CDTF">2019-09-10T08:57:00Z</dcterms:modified>
</cp:coreProperties>
</file>